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355" w:rsidRPr="0062197C" w:rsidRDefault="00B51FF2" w:rsidP="00B51FF2">
      <w:pPr>
        <w:snapToGrid w:val="0"/>
        <w:spacing w:after="240"/>
        <w:jc w:val="center"/>
        <w:rPr>
          <w:rFonts w:eastAsia="標楷體"/>
          <w:b/>
          <w:bCs/>
          <w:sz w:val="36"/>
          <w:szCs w:val="40"/>
        </w:rPr>
      </w:pPr>
      <w:bookmarkStart w:id="0" w:name="_GoBack"/>
      <w:r w:rsidRPr="0062197C">
        <w:rPr>
          <w:rFonts w:eastAsia="標楷體"/>
          <w:b/>
          <w:bCs/>
          <w:sz w:val="36"/>
          <w:szCs w:val="40"/>
        </w:rPr>
        <w:t>TEEP</w:t>
      </w:r>
      <w:r w:rsidR="005D09F5">
        <w:rPr>
          <w:rFonts w:eastAsia="標楷體" w:hint="eastAsia"/>
          <w:b/>
          <w:bCs/>
          <w:sz w:val="36"/>
          <w:szCs w:val="40"/>
        </w:rPr>
        <w:t xml:space="preserve"> </w:t>
      </w:r>
      <w:r w:rsidR="0062197C" w:rsidRPr="0062197C">
        <w:rPr>
          <w:rFonts w:eastAsia="標楷體"/>
          <w:b/>
          <w:bCs/>
          <w:sz w:val="36"/>
          <w:szCs w:val="40"/>
        </w:rPr>
        <w:t>Online internship</w:t>
      </w:r>
      <w:r w:rsidR="005D09F5">
        <w:rPr>
          <w:rFonts w:eastAsia="標楷體"/>
          <w:b/>
          <w:bCs/>
          <w:sz w:val="36"/>
          <w:szCs w:val="40"/>
        </w:rPr>
        <w:t xml:space="preserve"> </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983"/>
        <w:gridCol w:w="2722"/>
        <w:gridCol w:w="1983"/>
        <w:gridCol w:w="2722"/>
      </w:tblGrid>
      <w:tr w:rsidR="00756271" w:rsidRPr="0062197C" w:rsidTr="004C5513">
        <w:trPr>
          <w:trHeight w:val="680"/>
        </w:trPr>
        <w:tc>
          <w:tcPr>
            <w:tcW w:w="1983" w:type="dxa"/>
            <w:tcBorders>
              <w:right w:val="single" w:sz="2" w:space="0" w:color="auto"/>
            </w:tcBorders>
            <w:vAlign w:val="center"/>
          </w:tcPr>
          <w:bookmarkEnd w:id="0"/>
          <w:p w:rsidR="00756271" w:rsidRPr="0062197C" w:rsidRDefault="0062197C" w:rsidP="00B63988">
            <w:pPr>
              <w:snapToGrid w:val="0"/>
              <w:spacing w:line="440" w:lineRule="exact"/>
              <w:jc w:val="center"/>
              <w:rPr>
                <w:rFonts w:eastAsia="標楷體"/>
                <w:sz w:val="28"/>
                <w:szCs w:val="28"/>
              </w:rPr>
            </w:pPr>
            <w:r w:rsidRPr="0062197C">
              <w:rPr>
                <w:rFonts w:eastAsia="標楷體"/>
                <w:sz w:val="28"/>
                <w:szCs w:val="28"/>
              </w:rPr>
              <w:t>Grade requirements</w:t>
            </w:r>
          </w:p>
        </w:tc>
        <w:tc>
          <w:tcPr>
            <w:tcW w:w="2722" w:type="dxa"/>
            <w:tcBorders>
              <w:left w:val="single" w:sz="2" w:space="0" w:color="auto"/>
              <w:right w:val="single" w:sz="2" w:space="0" w:color="auto"/>
            </w:tcBorders>
            <w:vAlign w:val="center"/>
          </w:tcPr>
          <w:p w:rsidR="00756271" w:rsidRPr="0062197C" w:rsidRDefault="0062197C" w:rsidP="00B63988">
            <w:pPr>
              <w:snapToGrid w:val="0"/>
              <w:spacing w:line="440" w:lineRule="exact"/>
              <w:rPr>
                <w:rFonts w:eastAsia="標楷體"/>
                <w:sz w:val="28"/>
                <w:szCs w:val="28"/>
              </w:rPr>
            </w:pPr>
            <w:r>
              <w:rPr>
                <w:rFonts w:eastAsia="標楷體"/>
                <w:sz w:val="28"/>
                <w:szCs w:val="28"/>
              </w:rPr>
              <w:t xml:space="preserve">Master or Doctoral Student </w:t>
            </w:r>
          </w:p>
        </w:tc>
        <w:tc>
          <w:tcPr>
            <w:tcW w:w="1983" w:type="dxa"/>
            <w:tcBorders>
              <w:left w:val="single" w:sz="2" w:space="0" w:color="auto"/>
              <w:right w:val="single" w:sz="2" w:space="0" w:color="auto"/>
            </w:tcBorders>
            <w:vAlign w:val="center"/>
          </w:tcPr>
          <w:p w:rsidR="0062197C" w:rsidRPr="0062197C" w:rsidRDefault="0062197C" w:rsidP="00B63988">
            <w:pPr>
              <w:snapToGrid w:val="0"/>
              <w:spacing w:line="440" w:lineRule="exact"/>
              <w:jc w:val="center"/>
              <w:rPr>
                <w:rFonts w:eastAsia="標楷體"/>
                <w:sz w:val="28"/>
                <w:szCs w:val="28"/>
              </w:rPr>
            </w:pPr>
            <w:r w:rsidRPr="0062197C">
              <w:rPr>
                <w:rFonts w:eastAsia="標楷體"/>
                <w:sz w:val="28"/>
                <w:szCs w:val="28"/>
              </w:rPr>
              <w:t>Professional subjects requirements</w:t>
            </w:r>
          </w:p>
        </w:tc>
        <w:tc>
          <w:tcPr>
            <w:tcW w:w="2722" w:type="dxa"/>
            <w:tcBorders>
              <w:left w:val="single" w:sz="2" w:space="0" w:color="auto"/>
              <w:right w:val="single" w:sz="2" w:space="0" w:color="auto"/>
            </w:tcBorders>
            <w:vAlign w:val="center"/>
          </w:tcPr>
          <w:p w:rsidR="00756271" w:rsidRPr="0062197C" w:rsidRDefault="0062197C" w:rsidP="00B63988">
            <w:pPr>
              <w:snapToGrid w:val="0"/>
              <w:spacing w:line="440" w:lineRule="exact"/>
              <w:rPr>
                <w:rFonts w:eastAsia="標楷體"/>
                <w:sz w:val="28"/>
                <w:szCs w:val="28"/>
              </w:rPr>
            </w:pPr>
            <w:r>
              <w:rPr>
                <w:rFonts w:eastAsia="標楷體"/>
                <w:sz w:val="28"/>
                <w:szCs w:val="28"/>
              </w:rPr>
              <w:t>Organic or Inorganic chemistry major</w:t>
            </w:r>
          </w:p>
        </w:tc>
      </w:tr>
      <w:tr w:rsidR="00FE5074" w:rsidRPr="0062197C" w:rsidTr="00983413">
        <w:trPr>
          <w:trHeight w:val="680"/>
        </w:trPr>
        <w:tc>
          <w:tcPr>
            <w:tcW w:w="1983" w:type="dxa"/>
            <w:tcBorders>
              <w:right w:val="single" w:sz="2" w:space="0" w:color="auto"/>
            </w:tcBorders>
            <w:vAlign w:val="center"/>
          </w:tcPr>
          <w:p w:rsidR="00FE5074" w:rsidRPr="0062197C" w:rsidRDefault="0062197C" w:rsidP="00B63988">
            <w:pPr>
              <w:snapToGrid w:val="0"/>
              <w:spacing w:line="440" w:lineRule="exact"/>
              <w:jc w:val="center"/>
              <w:rPr>
                <w:rFonts w:eastAsia="標楷體"/>
                <w:sz w:val="28"/>
                <w:szCs w:val="28"/>
              </w:rPr>
            </w:pPr>
            <w:r w:rsidRPr="0062197C">
              <w:rPr>
                <w:rFonts w:eastAsia="標楷體"/>
                <w:sz w:val="28"/>
                <w:szCs w:val="28"/>
              </w:rPr>
              <w:t>Research theme</w:t>
            </w:r>
            <w:r>
              <w:rPr>
                <w:rFonts w:eastAsia="標楷體"/>
                <w:sz w:val="28"/>
                <w:szCs w:val="28"/>
              </w:rPr>
              <w:t xml:space="preserve"> I</w:t>
            </w:r>
            <w:r w:rsidRPr="0062197C">
              <w:rPr>
                <w:rFonts w:eastAsia="標楷體"/>
                <w:sz w:val="28"/>
                <w:szCs w:val="28"/>
              </w:rPr>
              <w:t xml:space="preserve"> </w:t>
            </w:r>
          </w:p>
        </w:tc>
        <w:tc>
          <w:tcPr>
            <w:tcW w:w="7427" w:type="dxa"/>
            <w:gridSpan w:val="3"/>
            <w:tcBorders>
              <w:left w:val="single" w:sz="2" w:space="0" w:color="auto"/>
              <w:right w:val="single" w:sz="2" w:space="0" w:color="auto"/>
            </w:tcBorders>
            <w:vAlign w:val="center"/>
          </w:tcPr>
          <w:p w:rsidR="00FE5074" w:rsidRPr="0062197C" w:rsidRDefault="0062197C" w:rsidP="00B63988">
            <w:pPr>
              <w:snapToGrid w:val="0"/>
              <w:spacing w:line="440" w:lineRule="exact"/>
              <w:rPr>
                <w:rFonts w:eastAsia="標楷體"/>
                <w:sz w:val="30"/>
                <w:szCs w:val="30"/>
              </w:rPr>
            </w:pPr>
            <w:r>
              <w:rPr>
                <w:rFonts w:eastAsia="標楷體"/>
                <w:sz w:val="30"/>
                <w:szCs w:val="30"/>
              </w:rPr>
              <w:t>Design</w:t>
            </w:r>
            <w:r w:rsidRPr="0062197C">
              <w:rPr>
                <w:rFonts w:eastAsia="標楷體"/>
                <w:sz w:val="30"/>
                <w:szCs w:val="30"/>
              </w:rPr>
              <w:t xml:space="preserve"> Bio-inspired coordination complexes for </w:t>
            </w:r>
            <w:r w:rsidRPr="0062197C">
              <w:rPr>
                <w:sz w:val="30"/>
                <w:szCs w:val="30"/>
              </w:rPr>
              <w:t>understand the biological reaction</w:t>
            </w:r>
          </w:p>
        </w:tc>
      </w:tr>
      <w:tr w:rsidR="00FE5074" w:rsidRPr="0062197C" w:rsidTr="00B51FF2">
        <w:trPr>
          <w:trHeight w:val="4699"/>
        </w:trPr>
        <w:tc>
          <w:tcPr>
            <w:tcW w:w="9410" w:type="dxa"/>
            <w:gridSpan w:val="4"/>
            <w:tcBorders>
              <w:right w:val="single" w:sz="2" w:space="0" w:color="auto"/>
            </w:tcBorders>
          </w:tcPr>
          <w:p w:rsidR="00FE5074" w:rsidRPr="0062197C" w:rsidRDefault="00E001D8" w:rsidP="00B63988">
            <w:pPr>
              <w:snapToGrid w:val="0"/>
              <w:spacing w:line="440" w:lineRule="exact"/>
              <w:ind w:leftChars="120" w:left="288" w:rightChars="120" w:right="288"/>
              <w:rPr>
                <w:rFonts w:eastAsia="標楷體"/>
                <w:sz w:val="28"/>
                <w:szCs w:val="28"/>
              </w:rPr>
            </w:pPr>
            <w:r w:rsidRPr="00E001D8">
              <w:rPr>
                <w:rFonts w:eastAsia="標楷體"/>
                <w:sz w:val="28"/>
                <w:szCs w:val="28"/>
              </w:rPr>
              <w:t>Brief description of research direction</w:t>
            </w:r>
            <w:r w:rsidR="0062197C">
              <w:rPr>
                <w:rFonts w:eastAsia="標楷體"/>
                <w:sz w:val="28"/>
                <w:szCs w:val="28"/>
              </w:rPr>
              <w:t xml:space="preserve">: </w:t>
            </w:r>
          </w:p>
          <w:p w:rsidR="006D0825" w:rsidRDefault="0062197C" w:rsidP="00B63988">
            <w:pPr>
              <w:snapToGrid w:val="0"/>
              <w:spacing w:line="440" w:lineRule="exact"/>
              <w:ind w:leftChars="120" w:left="288" w:rightChars="120" w:right="288"/>
              <w:rPr>
                <w:sz w:val="23"/>
                <w:szCs w:val="23"/>
              </w:rPr>
            </w:pPr>
            <w:r>
              <w:rPr>
                <w:sz w:val="23"/>
                <w:szCs w:val="23"/>
              </w:rPr>
              <w:t>Sodio Lab try to examine the role of metals in biology includes the synthesis and study of bio-inspired metal complexes (also model complexes) to understand the biological reaction by chemical point of view. Those achievement could apply in medicine and catalyst design. The study of inorganic models or mimics could imitate the behavior of metalloproteins.</w:t>
            </w:r>
          </w:p>
          <w:p w:rsidR="00E001D8" w:rsidRPr="00E001D8" w:rsidRDefault="00E001D8" w:rsidP="00E001D8">
            <w:pPr>
              <w:numPr>
                <w:ilvl w:val="0"/>
                <w:numId w:val="9"/>
              </w:numPr>
              <w:jc w:val="both"/>
              <w:rPr>
                <w:rFonts w:eastAsia="CharisSIL"/>
                <w:kern w:val="0"/>
              </w:rPr>
            </w:pPr>
            <w:r w:rsidRPr="00E001D8">
              <w:rPr>
                <w:kern w:val="0"/>
              </w:rPr>
              <w:t xml:space="preserve">Narwane, M.; </w:t>
            </w:r>
            <w:r w:rsidRPr="00E001D8">
              <w:rPr>
                <w:rFonts w:eastAsia="MS Mincho"/>
                <w:lang w:eastAsia="ja-JP"/>
              </w:rPr>
              <w:t xml:space="preserve">Chang, </w:t>
            </w:r>
            <w:r w:rsidRPr="00E001D8">
              <w:t>Y.-L.;</w:t>
            </w:r>
            <w:r w:rsidRPr="00E001D8">
              <w:rPr>
                <w:rFonts w:eastAsia="CharisSIL"/>
                <w:kern w:val="0"/>
              </w:rPr>
              <w:t xml:space="preserve"> Ching, W.-M.; Tsai, M.-L.; Hsu, S. C. N.*</w:t>
            </w:r>
            <w:r w:rsidRPr="00E001D8">
              <w:rPr>
                <w:kern w:val="0"/>
              </w:rPr>
              <w:t xml:space="preserve"> “</w:t>
            </w:r>
            <w:r w:rsidRPr="00E001D8">
              <w:rPr>
                <w:rFonts w:eastAsia="MS Mincho"/>
                <w:shd w:val="clear" w:color="auto" w:fill="FFFFFF"/>
                <w:lang w:eastAsia="ja-JP"/>
              </w:rPr>
              <w:t>Investigation on the Coordination Behaviors of Tris(2-pyridyl)pyrazolyl Borates Iron(II) Complexes</w:t>
            </w:r>
            <w:r w:rsidRPr="00E001D8">
              <w:rPr>
                <w:kern w:val="0"/>
              </w:rPr>
              <w:t xml:space="preserve">” </w:t>
            </w:r>
            <w:r w:rsidRPr="00E001D8">
              <w:rPr>
                <w:rFonts w:eastAsia="MS Mincho"/>
                <w:i/>
                <w:iCs/>
                <w:shd w:val="clear" w:color="auto" w:fill="FFFFFF"/>
                <w:lang w:eastAsia="ja-JP"/>
              </w:rPr>
              <w:t>Inorganica Chim. Acta</w:t>
            </w:r>
            <w:r w:rsidRPr="00E001D8">
              <w:rPr>
                <w:i/>
                <w:iCs/>
                <w:shd w:val="clear" w:color="auto" w:fill="FFFFFF"/>
              </w:rPr>
              <w:t xml:space="preserve"> </w:t>
            </w:r>
            <w:r w:rsidRPr="00E001D8">
              <w:rPr>
                <w:b/>
                <w:iCs/>
                <w:shd w:val="clear" w:color="auto" w:fill="FFFFFF"/>
              </w:rPr>
              <w:t>2019</w:t>
            </w:r>
            <w:r w:rsidRPr="00E001D8">
              <w:rPr>
                <w:iCs/>
                <w:shd w:val="clear" w:color="auto" w:fill="FFFFFF"/>
              </w:rPr>
              <w:t xml:space="preserve">, </w:t>
            </w:r>
            <w:r w:rsidRPr="00E001D8">
              <w:rPr>
                <w:i/>
                <w:iCs/>
                <w:shd w:val="clear" w:color="auto" w:fill="FFFFFF"/>
              </w:rPr>
              <w:t>495</w:t>
            </w:r>
            <w:r w:rsidRPr="00E001D8">
              <w:rPr>
                <w:iCs/>
                <w:shd w:val="clear" w:color="auto" w:fill="FFFFFF"/>
              </w:rPr>
              <w:t xml:space="preserve">, 118966. </w:t>
            </w:r>
          </w:p>
          <w:p w:rsidR="00E001D8" w:rsidRPr="00E001D8" w:rsidRDefault="00E001D8" w:rsidP="00E001D8">
            <w:pPr>
              <w:numPr>
                <w:ilvl w:val="0"/>
                <w:numId w:val="9"/>
              </w:numPr>
              <w:jc w:val="both"/>
              <w:rPr>
                <w:rFonts w:eastAsia="CharisSIL"/>
                <w:kern w:val="0"/>
              </w:rPr>
            </w:pPr>
            <w:r w:rsidRPr="00E001D8">
              <w:rPr>
                <w:rFonts w:eastAsia="CharisSIL"/>
                <w:kern w:val="0"/>
              </w:rPr>
              <w:t>Huang, Y.-T.; Haribabu, J; Chien, C.-M.; Sabapathi, G; Chou, C.-K.; Karvembu, R.; Venuvanalingam, P.; Ching, W.-M.; Tsai, M.-L.; Hsu, S. C. N.* “Half-sandwich Ru(η</w:t>
            </w:r>
            <w:r w:rsidRPr="00E001D8">
              <w:rPr>
                <w:rFonts w:eastAsia="CharisSIL"/>
                <w:kern w:val="0"/>
                <w:vertAlign w:val="superscript"/>
              </w:rPr>
              <w:t>6</w:t>
            </w:r>
            <w:r w:rsidRPr="00E001D8">
              <w:rPr>
                <w:rFonts w:eastAsia="CharisSIL"/>
                <w:kern w:val="0"/>
              </w:rPr>
              <w:t>-</w:t>
            </w:r>
            <w:r w:rsidRPr="00E001D8">
              <w:rPr>
                <w:rFonts w:eastAsia="CharisSIL"/>
                <w:i/>
                <w:kern w:val="0"/>
              </w:rPr>
              <w:t>p</w:t>
            </w:r>
            <w:r w:rsidRPr="00E001D8">
              <w:rPr>
                <w:rFonts w:eastAsia="CharisSIL"/>
                <w:kern w:val="0"/>
              </w:rPr>
              <w:t>-cymene) complexes featuring pyrazole appended</w:t>
            </w:r>
            <w:r w:rsidRPr="00E001D8">
              <w:rPr>
                <w:rFonts w:hint="eastAsia"/>
                <w:kern w:val="0"/>
              </w:rPr>
              <w:t xml:space="preserve"> </w:t>
            </w:r>
            <w:r w:rsidRPr="00E001D8">
              <w:rPr>
                <w:rFonts w:eastAsia="CharisSIL"/>
                <w:kern w:val="0"/>
              </w:rPr>
              <w:t xml:space="preserve">ligands: Synthesis, DNA binding and </w:t>
            </w:r>
            <w:r w:rsidRPr="00E001D8">
              <w:rPr>
                <w:rFonts w:eastAsia="CharisSIL-Italic"/>
                <w:i/>
                <w:iCs/>
                <w:kern w:val="0"/>
              </w:rPr>
              <w:t xml:space="preserve">in vitro </w:t>
            </w:r>
            <w:r w:rsidRPr="00E001D8">
              <w:rPr>
                <w:rFonts w:eastAsia="CharisSIL"/>
                <w:kern w:val="0"/>
              </w:rPr>
              <w:t>cytotoxicity</w:t>
            </w:r>
            <w:r w:rsidRPr="00E001D8">
              <w:rPr>
                <w:rFonts w:eastAsia="MS Mincho"/>
                <w:kern w:val="0"/>
                <w:lang w:eastAsia="ja-JP"/>
              </w:rPr>
              <w:t xml:space="preserve">” </w:t>
            </w:r>
            <w:r w:rsidRPr="00E001D8">
              <w:rPr>
                <w:rFonts w:eastAsia="MS Mincho"/>
                <w:i/>
                <w:iCs/>
                <w:kern w:val="0"/>
                <w:lang w:eastAsia="ja-JP"/>
              </w:rPr>
              <w:t>J. Inorg. Biochem.</w:t>
            </w:r>
            <w:r w:rsidRPr="00E001D8">
              <w:rPr>
                <w:rFonts w:eastAsia="MS Mincho"/>
                <w:kern w:val="0"/>
                <w:lang w:eastAsia="ja-JP"/>
              </w:rPr>
              <w:t xml:space="preserve"> </w:t>
            </w:r>
            <w:r w:rsidRPr="00E001D8">
              <w:rPr>
                <w:rFonts w:eastAsia="MS Mincho"/>
                <w:b/>
                <w:bCs/>
                <w:kern w:val="0"/>
                <w:lang w:eastAsia="ja-JP"/>
              </w:rPr>
              <w:t>201</w:t>
            </w:r>
            <w:r w:rsidRPr="00E001D8">
              <w:rPr>
                <w:rFonts w:hint="eastAsia"/>
                <w:b/>
                <w:bCs/>
                <w:kern w:val="0"/>
              </w:rPr>
              <w:t>9</w:t>
            </w:r>
            <w:r w:rsidRPr="00E001D8">
              <w:rPr>
                <w:rFonts w:eastAsia="MS Mincho"/>
                <w:kern w:val="0"/>
                <w:lang w:eastAsia="ja-JP"/>
              </w:rPr>
              <w:t xml:space="preserve">, </w:t>
            </w:r>
            <w:r w:rsidRPr="00E001D8">
              <w:rPr>
                <w:rFonts w:eastAsia="MS Mincho" w:hint="eastAsia"/>
                <w:i/>
                <w:kern w:val="0"/>
                <w:lang w:eastAsia="ja-JP"/>
              </w:rPr>
              <w:t>1</w:t>
            </w:r>
            <w:r w:rsidRPr="00E001D8">
              <w:rPr>
                <w:rFonts w:hint="eastAsia"/>
                <w:i/>
                <w:kern w:val="0"/>
              </w:rPr>
              <w:t>94</w:t>
            </w:r>
            <w:r w:rsidRPr="00E001D8">
              <w:rPr>
                <w:rFonts w:eastAsia="MS Mincho" w:hint="eastAsia"/>
                <w:kern w:val="0"/>
                <w:lang w:eastAsia="ja-JP"/>
              </w:rPr>
              <w:t xml:space="preserve">, </w:t>
            </w:r>
            <w:r w:rsidRPr="00E001D8">
              <w:rPr>
                <w:rFonts w:hint="eastAsia"/>
                <w:kern w:val="0"/>
              </w:rPr>
              <w:t>7</w:t>
            </w:r>
            <w:r w:rsidRPr="00E001D8">
              <w:rPr>
                <w:rFonts w:eastAsia="MS Mincho" w:hint="eastAsia"/>
                <w:kern w:val="0"/>
                <w:lang w:eastAsia="ja-JP"/>
              </w:rPr>
              <w:t>4-</w:t>
            </w:r>
            <w:r w:rsidRPr="00E001D8">
              <w:rPr>
                <w:rFonts w:hint="eastAsia"/>
                <w:kern w:val="0"/>
              </w:rPr>
              <w:t>84</w:t>
            </w:r>
            <w:r w:rsidRPr="00E001D8">
              <w:rPr>
                <w:rFonts w:eastAsia="MS Mincho"/>
                <w:kern w:val="0"/>
                <w:lang w:eastAsia="ja-JP"/>
              </w:rPr>
              <w:t>.</w:t>
            </w:r>
            <w:r w:rsidRPr="00E001D8">
              <w:rPr>
                <w:rFonts w:hint="eastAsia"/>
                <w:kern w:val="0"/>
              </w:rPr>
              <w:t xml:space="preserve">    </w:t>
            </w:r>
          </w:p>
          <w:p w:rsidR="00E001D8" w:rsidRPr="00E001D8" w:rsidRDefault="00E001D8" w:rsidP="00E001D8">
            <w:pPr>
              <w:numPr>
                <w:ilvl w:val="0"/>
                <w:numId w:val="9"/>
              </w:numPr>
              <w:jc w:val="both"/>
              <w:rPr>
                <w:rFonts w:eastAsia="MS Mincho"/>
                <w:kern w:val="0"/>
                <w:lang w:eastAsia="ja-JP"/>
              </w:rPr>
            </w:pPr>
            <w:r w:rsidRPr="00E001D8">
              <w:rPr>
                <w:rFonts w:eastAsia="MS Mincho"/>
                <w:kern w:val="0"/>
                <w:lang w:eastAsia="ja-JP"/>
              </w:rPr>
              <w:t>Chuang,</w:t>
            </w:r>
            <w:r w:rsidRPr="00E001D8">
              <w:rPr>
                <w:rFonts w:eastAsia="MS Mincho" w:hint="eastAsia"/>
                <w:kern w:val="0"/>
                <w:lang w:eastAsia="ja-JP"/>
              </w:rPr>
              <w:t xml:space="preserve"> W.-J.;</w:t>
            </w:r>
            <w:r w:rsidRPr="00E001D8">
              <w:rPr>
                <w:rFonts w:hint="eastAsia"/>
                <w:kern w:val="0"/>
              </w:rPr>
              <w:t xml:space="preserve"> Narwane, M.; </w:t>
            </w:r>
            <w:r w:rsidRPr="00E001D8">
              <w:rPr>
                <w:rFonts w:eastAsia="MS Mincho"/>
                <w:kern w:val="0"/>
                <w:lang w:eastAsia="ja-JP"/>
              </w:rPr>
              <w:t>Chen, H.-Y.;</w:t>
            </w:r>
            <w:r w:rsidRPr="00E001D8">
              <w:rPr>
                <w:rFonts w:ascii="新細明體" w:hAnsi="新細明體" w:hint="eastAsia"/>
                <w:kern w:val="0"/>
              </w:rPr>
              <w:t xml:space="preserve"> </w:t>
            </w:r>
            <w:r w:rsidRPr="00E001D8">
              <w:rPr>
                <w:rFonts w:hint="eastAsia"/>
                <w:kern w:val="0"/>
              </w:rPr>
              <w:t xml:space="preserve">Kao, C.-L.; Huang, B.; Hsu, K.-M.; Wang, Y.-M.*; </w:t>
            </w:r>
            <w:r w:rsidRPr="00E001D8">
              <w:rPr>
                <w:rFonts w:eastAsia="MS Mincho"/>
                <w:kern w:val="0"/>
                <w:u w:val="single"/>
                <w:lang w:eastAsia="ja-JP"/>
              </w:rPr>
              <w:t>Hsu, S. C. N.*</w:t>
            </w:r>
            <w:r w:rsidRPr="00E001D8">
              <w:rPr>
                <w:rFonts w:ascii="新細明體" w:hAnsi="新細明體"/>
                <w:kern w:val="0"/>
              </w:rPr>
              <w:t>“</w:t>
            </w:r>
            <w:r w:rsidRPr="00E001D8">
              <w:rPr>
                <w:rFonts w:eastAsia="MS Mincho"/>
                <w:kern w:val="0"/>
                <w:lang w:eastAsia="ja-JP"/>
              </w:rPr>
              <w:t>Nitric Oxide Release Study of a Bio-inspired Copper(I)-nitrito Complex on Chemical and Biological Conditions</w:t>
            </w:r>
            <w:r w:rsidRPr="00E001D8">
              <w:rPr>
                <w:kern w:val="0"/>
              </w:rPr>
              <w:t>”</w:t>
            </w:r>
            <w:r w:rsidRPr="00E001D8">
              <w:rPr>
                <w:rFonts w:hint="eastAsia"/>
                <w:kern w:val="0"/>
              </w:rPr>
              <w:t xml:space="preserve"> </w:t>
            </w:r>
            <w:r w:rsidRPr="00E001D8">
              <w:rPr>
                <w:rFonts w:eastAsia="MS Mincho"/>
                <w:i/>
                <w:kern w:val="0"/>
                <w:lang w:eastAsia="ja-JP"/>
              </w:rPr>
              <w:t>Dalton Transactions</w:t>
            </w:r>
            <w:r w:rsidRPr="00E001D8">
              <w:rPr>
                <w:rFonts w:eastAsia="MS Mincho"/>
                <w:kern w:val="0"/>
                <w:lang w:eastAsia="ja-JP"/>
              </w:rPr>
              <w:t xml:space="preserve">, </w:t>
            </w:r>
            <w:r w:rsidRPr="00E001D8">
              <w:rPr>
                <w:rFonts w:eastAsia="MS Mincho"/>
                <w:b/>
                <w:kern w:val="0"/>
                <w:lang w:eastAsia="ja-JP"/>
              </w:rPr>
              <w:t>2018</w:t>
            </w:r>
            <w:r w:rsidRPr="00E001D8">
              <w:rPr>
                <w:rFonts w:eastAsia="MS Mincho"/>
                <w:kern w:val="0"/>
                <w:lang w:eastAsia="ja-JP"/>
              </w:rPr>
              <w:t xml:space="preserve">, </w:t>
            </w:r>
            <w:r w:rsidRPr="00E001D8">
              <w:rPr>
                <w:rFonts w:hint="eastAsia"/>
                <w:i/>
              </w:rPr>
              <w:t xml:space="preserve">47, </w:t>
            </w:r>
            <w:r w:rsidRPr="00E001D8">
              <w:rPr>
                <w:rFonts w:hint="eastAsia"/>
              </w:rPr>
              <w:t xml:space="preserve">13151-13157. </w:t>
            </w:r>
          </w:p>
          <w:p w:rsidR="00E001D8" w:rsidRPr="00E001D8" w:rsidRDefault="00E001D8" w:rsidP="00E001D8">
            <w:pPr>
              <w:numPr>
                <w:ilvl w:val="0"/>
                <w:numId w:val="9"/>
              </w:numPr>
              <w:jc w:val="both"/>
              <w:rPr>
                <w:rFonts w:eastAsia="MS Mincho"/>
                <w:kern w:val="0"/>
                <w:lang w:eastAsia="ja-JP"/>
              </w:rPr>
            </w:pPr>
            <w:r w:rsidRPr="00E001D8">
              <w:rPr>
                <w:rFonts w:eastAsia="MS Mincho"/>
                <w:lang w:eastAsia="ja-JP"/>
              </w:rPr>
              <w:t xml:space="preserve">Chang, </w:t>
            </w:r>
            <w:r w:rsidRPr="00E001D8">
              <w:rPr>
                <w:rFonts w:hint="eastAsia"/>
              </w:rPr>
              <w:t xml:space="preserve">Y.-L.; Lin, Y.-F.; </w:t>
            </w:r>
            <w:r w:rsidRPr="00E001D8">
              <w:rPr>
                <w:rFonts w:eastAsia="MS Mincho"/>
                <w:kern w:val="0"/>
                <w:lang w:eastAsia="ja-JP"/>
              </w:rPr>
              <w:t>Chuang,</w:t>
            </w:r>
            <w:r w:rsidRPr="00E001D8">
              <w:rPr>
                <w:rFonts w:eastAsia="MS Mincho" w:hint="eastAsia"/>
                <w:kern w:val="0"/>
                <w:lang w:eastAsia="ja-JP"/>
              </w:rPr>
              <w:t xml:space="preserve"> W.-J.</w:t>
            </w:r>
            <w:r w:rsidRPr="00E001D8">
              <w:rPr>
                <w:rFonts w:hint="eastAsia"/>
                <w:kern w:val="0"/>
              </w:rPr>
              <w:t xml:space="preserve"> Kao, C.-L.; Narwane, M.; Chen, H.-Y.; </w:t>
            </w:r>
            <w:r w:rsidRPr="00E001D8">
              <w:rPr>
                <w:rFonts w:eastAsia="MS Mincho"/>
                <w:kern w:val="0"/>
                <w:lang w:eastAsia="ja-JP"/>
              </w:rPr>
              <w:t>Chiang, M. Y.</w:t>
            </w:r>
            <w:r w:rsidRPr="00E001D8">
              <w:rPr>
                <w:rFonts w:eastAsia="MS Mincho" w:hint="eastAsia"/>
                <w:kern w:val="0"/>
                <w:lang w:eastAsia="ja-JP"/>
              </w:rPr>
              <w:t>;</w:t>
            </w:r>
            <w:r w:rsidRPr="00E001D8">
              <w:rPr>
                <w:rFonts w:eastAsia="MS Mincho"/>
                <w:kern w:val="0"/>
                <w:lang w:eastAsia="ja-JP"/>
              </w:rPr>
              <w:t xml:space="preserve"> </w:t>
            </w:r>
            <w:r w:rsidRPr="00E001D8">
              <w:rPr>
                <w:rFonts w:eastAsia="MS Mincho"/>
                <w:kern w:val="0"/>
                <w:u w:val="single"/>
                <w:lang w:eastAsia="ja-JP"/>
              </w:rPr>
              <w:t>Hsu, S. C. N.*</w:t>
            </w:r>
            <w:r w:rsidRPr="00E001D8">
              <w:rPr>
                <w:rFonts w:hint="eastAsia"/>
                <w:kern w:val="0"/>
              </w:rPr>
              <w:t xml:space="preserve"> </w:t>
            </w:r>
            <w:r w:rsidRPr="00E001D8">
              <w:rPr>
                <w:kern w:val="0"/>
              </w:rPr>
              <w:t>“</w:t>
            </w:r>
            <w:r w:rsidRPr="00E001D8">
              <w:rPr>
                <w:rFonts w:eastAsia="MS Mincho"/>
                <w:color w:val="000000"/>
                <w:lang w:eastAsia="ja-JP"/>
              </w:rPr>
              <w:t>Structure and Nitrite Reduction Reactivity Study of Bio-inspired Copper(I)-nitro Complexes in Steric and Electronic Considerations of Tridentate Nitrogen Ligand</w:t>
            </w:r>
            <w:r w:rsidRPr="00E001D8">
              <w:rPr>
                <w:kern w:val="0"/>
              </w:rPr>
              <w:t>”</w:t>
            </w:r>
            <w:r w:rsidRPr="00E001D8">
              <w:rPr>
                <w:rFonts w:hint="eastAsia"/>
                <w:kern w:val="0"/>
              </w:rPr>
              <w:t xml:space="preserve"> </w:t>
            </w:r>
            <w:r w:rsidRPr="00E001D8">
              <w:rPr>
                <w:rFonts w:eastAsia="MS Mincho"/>
                <w:i/>
                <w:lang w:eastAsia="ja-JP"/>
              </w:rPr>
              <w:t>Dalton Transactions</w:t>
            </w:r>
            <w:r w:rsidRPr="00E001D8">
              <w:rPr>
                <w:rFonts w:hint="eastAsia"/>
              </w:rPr>
              <w:t xml:space="preserve">, </w:t>
            </w:r>
            <w:r w:rsidRPr="00E001D8">
              <w:rPr>
                <w:rFonts w:hint="eastAsia"/>
                <w:b/>
              </w:rPr>
              <w:t>2018</w:t>
            </w:r>
            <w:r w:rsidRPr="00E001D8">
              <w:rPr>
                <w:rFonts w:hint="eastAsia"/>
              </w:rPr>
              <w:t xml:space="preserve">, </w:t>
            </w:r>
            <w:r w:rsidRPr="00E001D8">
              <w:rPr>
                <w:rFonts w:hint="eastAsia"/>
                <w:i/>
              </w:rPr>
              <w:t xml:space="preserve">47, </w:t>
            </w:r>
            <w:r w:rsidRPr="00E001D8">
              <w:rPr>
                <w:rFonts w:hint="eastAsia"/>
              </w:rPr>
              <w:t>5335-5341.</w:t>
            </w:r>
          </w:p>
        </w:tc>
      </w:tr>
      <w:tr w:rsidR="00983413" w:rsidRPr="0062197C" w:rsidTr="00E23982">
        <w:trPr>
          <w:trHeight w:val="109"/>
        </w:trPr>
        <w:tc>
          <w:tcPr>
            <w:tcW w:w="9410" w:type="dxa"/>
            <w:gridSpan w:val="4"/>
            <w:tcBorders>
              <w:right w:val="single" w:sz="2" w:space="0" w:color="auto"/>
            </w:tcBorders>
          </w:tcPr>
          <w:p w:rsidR="00983413" w:rsidRPr="00E23982" w:rsidRDefault="00983413" w:rsidP="00B63988">
            <w:pPr>
              <w:snapToGrid w:val="0"/>
              <w:spacing w:line="440" w:lineRule="exact"/>
              <w:ind w:leftChars="120" w:left="288" w:rightChars="120" w:right="288"/>
              <w:rPr>
                <w:rFonts w:eastAsia="標楷體"/>
                <w:sz w:val="16"/>
                <w:szCs w:val="28"/>
              </w:rPr>
            </w:pPr>
          </w:p>
        </w:tc>
      </w:tr>
      <w:tr w:rsidR="00FE5074" w:rsidRPr="0062197C" w:rsidTr="00983413">
        <w:trPr>
          <w:trHeight w:val="680"/>
        </w:trPr>
        <w:tc>
          <w:tcPr>
            <w:tcW w:w="1983" w:type="dxa"/>
            <w:tcBorders>
              <w:right w:val="single" w:sz="2" w:space="0" w:color="auto"/>
            </w:tcBorders>
            <w:vAlign w:val="center"/>
          </w:tcPr>
          <w:p w:rsidR="00FE5074" w:rsidRPr="0062197C" w:rsidRDefault="0062197C" w:rsidP="00B63988">
            <w:pPr>
              <w:snapToGrid w:val="0"/>
              <w:spacing w:line="440" w:lineRule="exact"/>
              <w:jc w:val="center"/>
              <w:rPr>
                <w:rFonts w:eastAsia="標楷體"/>
                <w:sz w:val="28"/>
                <w:szCs w:val="28"/>
              </w:rPr>
            </w:pPr>
            <w:r w:rsidRPr="0062197C">
              <w:rPr>
                <w:rFonts w:eastAsia="標楷體"/>
                <w:sz w:val="28"/>
                <w:szCs w:val="28"/>
              </w:rPr>
              <w:t>Research theme</w:t>
            </w:r>
            <w:r>
              <w:rPr>
                <w:rFonts w:eastAsia="標楷體"/>
                <w:sz w:val="28"/>
                <w:szCs w:val="28"/>
              </w:rPr>
              <w:t xml:space="preserve"> II</w:t>
            </w:r>
          </w:p>
        </w:tc>
        <w:tc>
          <w:tcPr>
            <w:tcW w:w="7427" w:type="dxa"/>
            <w:gridSpan w:val="3"/>
            <w:tcBorders>
              <w:left w:val="single" w:sz="2" w:space="0" w:color="auto"/>
              <w:right w:val="single" w:sz="2" w:space="0" w:color="auto"/>
            </w:tcBorders>
            <w:vAlign w:val="center"/>
          </w:tcPr>
          <w:p w:rsidR="00FE5074" w:rsidRPr="0062197C" w:rsidRDefault="00E001D8" w:rsidP="00B63988">
            <w:pPr>
              <w:snapToGrid w:val="0"/>
              <w:spacing w:line="440" w:lineRule="exact"/>
              <w:jc w:val="both"/>
              <w:rPr>
                <w:rFonts w:eastAsia="標楷體"/>
                <w:sz w:val="28"/>
                <w:szCs w:val="28"/>
              </w:rPr>
            </w:pPr>
            <w:r w:rsidRPr="00E001D8">
              <w:rPr>
                <w:rFonts w:eastAsia="標楷體"/>
                <w:sz w:val="28"/>
                <w:szCs w:val="28"/>
              </w:rPr>
              <w:t>Understanding the contraction factors of metallo-supramolecular complexes</w:t>
            </w:r>
          </w:p>
        </w:tc>
      </w:tr>
      <w:tr w:rsidR="00FE5074" w:rsidRPr="0062197C" w:rsidTr="00B51FF2">
        <w:trPr>
          <w:trHeight w:val="4800"/>
        </w:trPr>
        <w:tc>
          <w:tcPr>
            <w:tcW w:w="9410" w:type="dxa"/>
            <w:gridSpan w:val="4"/>
            <w:tcBorders>
              <w:right w:val="single" w:sz="2" w:space="0" w:color="auto"/>
            </w:tcBorders>
          </w:tcPr>
          <w:p w:rsidR="0062197C" w:rsidRPr="0062197C" w:rsidRDefault="00E001D8" w:rsidP="0062197C">
            <w:pPr>
              <w:snapToGrid w:val="0"/>
              <w:spacing w:line="440" w:lineRule="exact"/>
              <w:ind w:leftChars="120" w:left="288" w:rightChars="120" w:right="288"/>
              <w:rPr>
                <w:rFonts w:eastAsia="標楷體"/>
                <w:sz w:val="28"/>
                <w:szCs w:val="28"/>
              </w:rPr>
            </w:pPr>
            <w:r w:rsidRPr="00E001D8">
              <w:rPr>
                <w:rFonts w:eastAsia="標楷體"/>
                <w:sz w:val="28"/>
                <w:szCs w:val="28"/>
              </w:rPr>
              <w:lastRenderedPageBreak/>
              <w:t>Brief description of research direction</w:t>
            </w:r>
            <w:r w:rsidR="0062197C">
              <w:rPr>
                <w:rFonts w:eastAsia="標楷體"/>
                <w:sz w:val="28"/>
                <w:szCs w:val="28"/>
              </w:rPr>
              <w:t xml:space="preserve">: </w:t>
            </w:r>
          </w:p>
          <w:p w:rsidR="006D0825" w:rsidRDefault="0062197C" w:rsidP="00B63988">
            <w:pPr>
              <w:snapToGrid w:val="0"/>
              <w:spacing w:line="440" w:lineRule="exact"/>
              <w:ind w:leftChars="120" w:left="288" w:rightChars="120" w:right="288"/>
              <w:rPr>
                <w:sz w:val="23"/>
                <w:szCs w:val="23"/>
              </w:rPr>
            </w:pPr>
            <w:r>
              <w:rPr>
                <w:sz w:val="23"/>
                <w:szCs w:val="23"/>
              </w:rPr>
              <w:t>Sodio lab also have a range of well-studied structural and functional building blocks which are able to use to build up larger functional architectures. Biological systems are often the inspiration for supramolecular research.</w:t>
            </w:r>
          </w:p>
          <w:p w:rsidR="00E001D8" w:rsidRDefault="00E001D8" w:rsidP="00B63988">
            <w:pPr>
              <w:snapToGrid w:val="0"/>
              <w:spacing w:line="440" w:lineRule="exact"/>
              <w:ind w:leftChars="120" w:left="288" w:rightChars="120" w:right="288"/>
              <w:rPr>
                <w:sz w:val="23"/>
                <w:szCs w:val="23"/>
              </w:rPr>
            </w:pPr>
          </w:p>
          <w:p w:rsidR="00E001D8" w:rsidRPr="00E001D8" w:rsidRDefault="00E001D8" w:rsidP="00E001D8">
            <w:pPr>
              <w:pStyle w:val="aa"/>
              <w:numPr>
                <w:ilvl w:val="0"/>
                <w:numId w:val="10"/>
              </w:numPr>
              <w:ind w:leftChars="0"/>
              <w:jc w:val="both"/>
              <w:rPr>
                <w:rFonts w:eastAsia="CharisSIL"/>
                <w:kern w:val="0"/>
              </w:rPr>
            </w:pPr>
            <w:r w:rsidRPr="00E001D8">
              <w:rPr>
                <w:kern w:val="0"/>
                <w:szCs w:val="18"/>
              </w:rPr>
              <w:t>Huang, Y.</w:t>
            </w:r>
            <w:r w:rsidRPr="00E001D8">
              <w:rPr>
                <w:rFonts w:hint="eastAsia"/>
                <w:kern w:val="0"/>
                <w:szCs w:val="18"/>
              </w:rPr>
              <w:t xml:space="preserve"> </w:t>
            </w:r>
            <w:r w:rsidRPr="00E001D8">
              <w:rPr>
                <w:kern w:val="0"/>
                <w:szCs w:val="18"/>
              </w:rPr>
              <w:t xml:space="preserve">C.; Chen, H.-Y.; Chang, Y.-L.; Vasanthakumar, P.; Chen, S.-Y.; Kao, C.-L.; Wu, C. H.-Y.; </w:t>
            </w:r>
            <w:r w:rsidRPr="00E001D8">
              <w:rPr>
                <w:kern w:val="0"/>
                <w:szCs w:val="18"/>
                <w:u w:val="single"/>
              </w:rPr>
              <w:t>Hsu, S. C. N.</w:t>
            </w:r>
            <w:r w:rsidRPr="00E001D8">
              <w:rPr>
                <w:kern w:val="0"/>
                <w:szCs w:val="18"/>
              </w:rPr>
              <w:t xml:space="preserve">* </w:t>
            </w:r>
            <w:r w:rsidRPr="00E001D8">
              <w:rPr>
                <w:rFonts w:eastAsia="CharisSIL"/>
                <w:kern w:val="0"/>
              </w:rPr>
              <w:t>“</w:t>
            </w:r>
            <w:r w:rsidRPr="00E001D8">
              <w:rPr>
                <w:rFonts w:eastAsia="CharisSIL"/>
                <w:bCs/>
              </w:rPr>
              <w:t>Synthesis of Triisocyanomesitylene β</w:t>
            </w:r>
            <w:r w:rsidRPr="00E001D8">
              <w:rPr>
                <w:rFonts w:eastAsia="CharisSIL"/>
                <w:bCs/>
              </w:rPr>
              <w:noBreakHyphen/>
              <w:t>diketiminato Copper(I) Complexes and Evaluation of Isocyanide π-back Bonding</w:t>
            </w:r>
            <w:r w:rsidRPr="00E001D8">
              <w:rPr>
                <w:rFonts w:eastAsia="CharisSIL"/>
                <w:kern w:val="0"/>
              </w:rPr>
              <w:t xml:space="preserve">” </w:t>
            </w:r>
            <w:r w:rsidRPr="00E001D8">
              <w:rPr>
                <w:i/>
                <w:iCs/>
                <w:kern w:val="0"/>
                <w:szCs w:val="18"/>
              </w:rPr>
              <w:t xml:space="preserve">Polyhedron </w:t>
            </w:r>
            <w:r w:rsidRPr="00E001D8">
              <w:rPr>
                <w:b/>
                <w:bCs/>
                <w:kern w:val="0"/>
                <w:szCs w:val="18"/>
              </w:rPr>
              <w:t>2020</w:t>
            </w:r>
            <w:r w:rsidRPr="00E001D8">
              <w:rPr>
                <w:kern w:val="0"/>
                <w:szCs w:val="18"/>
              </w:rPr>
              <w:t xml:space="preserve">, </w:t>
            </w:r>
            <w:r w:rsidRPr="00E001D8">
              <w:rPr>
                <w:i/>
                <w:iCs/>
                <w:kern w:val="0"/>
                <w:szCs w:val="18"/>
              </w:rPr>
              <w:t>192</w:t>
            </w:r>
            <w:r w:rsidRPr="00E001D8">
              <w:rPr>
                <w:kern w:val="0"/>
                <w:szCs w:val="18"/>
              </w:rPr>
              <w:t>, 114828</w:t>
            </w:r>
          </w:p>
          <w:p w:rsidR="00E001D8" w:rsidRPr="00E001D8" w:rsidRDefault="00E001D8" w:rsidP="00E001D8">
            <w:pPr>
              <w:numPr>
                <w:ilvl w:val="0"/>
                <w:numId w:val="10"/>
              </w:numPr>
              <w:jc w:val="both"/>
              <w:rPr>
                <w:rFonts w:eastAsia="CharisSIL"/>
                <w:kern w:val="0"/>
              </w:rPr>
            </w:pPr>
            <w:r w:rsidRPr="00435967">
              <w:rPr>
                <w:rFonts w:eastAsia="CharisSIL"/>
                <w:kern w:val="0"/>
              </w:rPr>
              <w:t>Huang, Y.-</w:t>
            </w:r>
            <w:r>
              <w:rPr>
                <w:rFonts w:eastAsia="CharisSIL"/>
                <w:kern w:val="0"/>
              </w:rPr>
              <w:t>C</w:t>
            </w:r>
            <w:r w:rsidRPr="00435967">
              <w:rPr>
                <w:rFonts w:eastAsia="CharisSIL"/>
                <w:kern w:val="0"/>
              </w:rPr>
              <w:t xml:space="preserve">.; Lan, W.-Y.; Ching, W.-M.; Tsai, M.-L.; </w:t>
            </w:r>
            <w:r w:rsidRPr="00435967">
              <w:rPr>
                <w:rFonts w:eastAsia="CharisSIL"/>
                <w:kern w:val="0"/>
                <w:u w:val="single"/>
              </w:rPr>
              <w:t>Hsu, S. C. N.*</w:t>
            </w:r>
            <w:r w:rsidRPr="00435967">
              <w:rPr>
                <w:rFonts w:eastAsia="CharisSIL"/>
                <w:kern w:val="0"/>
              </w:rPr>
              <w:t xml:space="preserve"> </w:t>
            </w:r>
            <w:bookmarkStart w:id="1" w:name="_Hlk62426366"/>
            <w:r w:rsidRPr="00435967">
              <w:rPr>
                <w:rFonts w:eastAsia="CharisSIL"/>
                <w:kern w:val="0"/>
              </w:rPr>
              <w:t>“Formation of Iron(III)-Thiola</w:t>
            </w:r>
            <w:r w:rsidRPr="00775385">
              <w:rPr>
                <w:rFonts w:eastAsia="CharisSIL"/>
                <w:kern w:val="0"/>
              </w:rPr>
              <w:t>te Metallocyclophane Using a Ferrocene-Based Bis-Isocyanide”</w:t>
            </w:r>
            <w:bookmarkEnd w:id="1"/>
            <w:r w:rsidRPr="00775385">
              <w:rPr>
                <w:rFonts w:eastAsia="CharisSIL"/>
                <w:kern w:val="0"/>
              </w:rPr>
              <w:t xml:space="preserve"> </w:t>
            </w:r>
            <w:r w:rsidRPr="00775385">
              <w:rPr>
                <w:rStyle w:val="ab"/>
                <w:b w:val="0"/>
                <w:i/>
                <w:iCs/>
                <w:shd w:val="clear" w:color="auto" w:fill="FFFFFF"/>
              </w:rPr>
              <w:t>New J. Chem.</w:t>
            </w:r>
            <w:r w:rsidRPr="00775385">
              <w:rPr>
                <w:shd w:val="clear" w:color="auto" w:fill="FFFFFF"/>
              </w:rPr>
              <w:t xml:space="preserve">, </w:t>
            </w:r>
            <w:r w:rsidRPr="00775385">
              <w:rPr>
                <w:b/>
                <w:shd w:val="clear" w:color="auto" w:fill="FFFFFF"/>
              </w:rPr>
              <w:t>2020</w:t>
            </w:r>
            <w:r w:rsidRPr="00775385">
              <w:rPr>
                <w:shd w:val="clear" w:color="auto" w:fill="FFFFFF"/>
              </w:rPr>
              <w:t xml:space="preserve">, </w:t>
            </w:r>
            <w:r w:rsidRPr="00775385">
              <w:rPr>
                <w:i/>
              </w:rPr>
              <w:t>44</w:t>
            </w:r>
            <w:r w:rsidRPr="00775385">
              <w:t>, 18242-18249</w:t>
            </w:r>
            <w:r w:rsidRPr="00B02E51">
              <w:t xml:space="preserve"> </w:t>
            </w:r>
          </w:p>
          <w:p w:rsidR="00E001D8" w:rsidRPr="00E001D8" w:rsidRDefault="00E001D8" w:rsidP="00E001D8">
            <w:pPr>
              <w:pStyle w:val="aa"/>
              <w:numPr>
                <w:ilvl w:val="0"/>
                <w:numId w:val="10"/>
              </w:numPr>
              <w:ind w:leftChars="0"/>
              <w:rPr>
                <w:rFonts w:eastAsia="CharisSIL"/>
                <w:kern w:val="0"/>
              </w:rPr>
            </w:pPr>
            <w:r w:rsidRPr="00E001D8">
              <w:rPr>
                <w:rFonts w:eastAsia="CharisSIL"/>
                <w:kern w:val="0"/>
              </w:rPr>
              <w:t xml:space="preserve">Huang, Y.-T.; Chen, H.-Y.; Cheng, C.-Y.; Tsai, Y.-L.; Chiang, M. Y.; Hsu, S. C. N* “Stepwise and self-assembly synthesis of tetranuclear iron-thiolate-diisocyanide metallocyclophane complexes” J. Chin. Chem. Soc. </w:t>
            </w:r>
            <w:r w:rsidRPr="00E001D8">
              <w:rPr>
                <w:rFonts w:eastAsia="CharisSIL"/>
                <w:b/>
                <w:kern w:val="0"/>
              </w:rPr>
              <w:t>2017</w:t>
            </w:r>
            <w:r w:rsidRPr="00E001D8">
              <w:rPr>
                <w:rFonts w:eastAsia="CharisSIL"/>
                <w:kern w:val="0"/>
              </w:rPr>
              <w:t xml:space="preserve">, </w:t>
            </w:r>
            <w:r w:rsidRPr="00E001D8">
              <w:rPr>
                <w:rFonts w:eastAsia="CharisSIL"/>
                <w:i/>
                <w:kern w:val="0"/>
              </w:rPr>
              <w:t>64</w:t>
            </w:r>
            <w:r w:rsidRPr="00E001D8">
              <w:rPr>
                <w:rFonts w:eastAsia="CharisSIL"/>
                <w:kern w:val="0"/>
              </w:rPr>
              <w:t>, 94-102</w:t>
            </w:r>
          </w:p>
          <w:p w:rsidR="00E001D8" w:rsidRPr="00B02E51" w:rsidRDefault="00E001D8" w:rsidP="00E001D8">
            <w:pPr>
              <w:numPr>
                <w:ilvl w:val="0"/>
                <w:numId w:val="10"/>
              </w:numPr>
              <w:jc w:val="both"/>
              <w:rPr>
                <w:rFonts w:eastAsia="CharisSIL"/>
                <w:kern w:val="0"/>
              </w:rPr>
            </w:pPr>
            <w:r w:rsidRPr="00D4119E">
              <w:rPr>
                <w:kern w:val="0"/>
              </w:rPr>
              <w:t xml:space="preserve">Chen, Y.-H.; Lin, T. T. Y.; Chen, H.-Y.; Kao, C.-L.; Chen, H.-Y.; </w:t>
            </w:r>
            <w:r w:rsidRPr="00D4119E">
              <w:rPr>
                <w:kern w:val="0"/>
                <w:u w:val="single"/>
              </w:rPr>
              <w:t>Hsu, S. C. N.*</w:t>
            </w:r>
            <w:r w:rsidRPr="00D4119E">
              <w:rPr>
                <w:kern w:val="0"/>
              </w:rPr>
              <w:t xml:space="preserve">; Carey, J. R.; Chiang, M. Y. “A simple competition assay to probe pentacopper(I)-thiolato cluster ligand exchange” </w:t>
            </w:r>
            <w:r w:rsidRPr="00D4119E">
              <w:rPr>
                <w:i/>
                <w:iCs/>
                <w:kern w:val="0"/>
              </w:rPr>
              <w:t>J. Inorg. Biochem.</w:t>
            </w:r>
            <w:r w:rsidRPr="00D4119E">
              <w:rPr>
                <w:kern w:val="0"/>
              </w:rPr>
              <w:t xml:space="preserve"> </w:t>
            </w:r>
            <w:r w:rsidRPr="00D4119E">
              <w:rPr>
                <w:b/>
                <w:bCs/>
                <w:kern w:val="0"/>
              </w:rPr>
              <w:t>201</w:t>
            </w:r>
            <w:r w:rsidRPr="00D4119E">
              <w:rPr>
                <w:rFonts w:hint="eastAsia"/>
                <w:b/>
                <w:bCs/>
                <w:kern w:val="0"/>
              </w:rPr>
              <w:t>3</w:t>
            </w:r>
            <w:r w:rsidRPr="00D4119E">
              <w:rPr>
                <w:kern w:val="0"/>
              </w:rPr>
              <w:t xml:space="preserve">, </w:t>
            </w:r>
            <w:r w:rsidRPr="00D4119E">
              <w:rPr>
                <w:rFonts w:hint="eastAsia"/>
                <w:i/>
                <w:kern w:val="0"/>
              </w:rPr>
              <w:t>120</w:t>
            </w:r>
            <w:r w:rsidRPr="00D4119E">
              <w:rPr>
                <w:rFonts w:hint="eastAsia"/>
                <w:kern w:val="0"/>
              </w:rPr>
              <w:t>, 24-31</w:t>
            </w:r>
            <w:r w:rsidRPr="00D4119E">
              <w:rPr>
                <w:kern w:val="0"/>
              </w:rPr>
              <w:t>.</w:t>
            </w:r>
          </w:p>
          <w:p w:rsidR="00E001D8" w:rsidRPr="00E001D8" w:rsidRDefault="00E001D8" w:rsidP="00B63988">
            <w:pPr>
              <w:snapToGrid w:val="0"/>
              <w:spacing w:line="440" w:lineRule="exact"/>
              <w:ind w:leftChars="120" w:left="288" w:rightChars="120" w:right="288"/>
              <w:rPr>
                <w:rFonts w:eastAsia="標楷體"/>
                <w:sz w:val="28"/>
                <w:szCs w:val="28"/>
              </w:rPr>
            </w:pPr>
          </w:p>
        </w:tc>
      </w:tr>
    </w:tbl>
    <w:p w:rsidR="006C4CCF" w:rsidRPr="0062197C" w:rsidRDefault="006C4CCF" w:rsidP="00B63988">
      <w:pPr>
        <w:snapToGrid w:val="0"/>
        <w:spacing w:line="440" w:lineRule="exact"/>
        <w:rPr>
          <w:rFonts w:eastAsia="標楷體"/>
          <w:sz w:val="28"/>
          <w:szCs w:val="28"/>
        </w:rPr>
      </w:pPr>
    </w:p>
    <w:sectPr w:rsidR="006C4CCF" w:rsidRPr="0062197C" w:rsidSect="00B63988">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BC5" w:rsidRDefault="00B03BC5" w:rsidP="00F1407F">
      <w:r>
        <w:separator/>
      </w:r>
    </w:p>
  </w:endnote>
  <w:endnote w:type="continuationSeparator" w:id="0">
    <w:p w:rsidR="00B03BC5" w:rsidRDefault="00B03BC5" w:rsidP="00F1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harisSIL">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harisSIL-Italic">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BC5" w:rsidRDefault="00B03BC5" w:rsidP="00F1407F">
      <w:r>
        <w:separator/>
      </w:r>
    </w:p>
  </w:footnote>
  <w:footnote w:type="continuationSeparator" w:id="0">
    <w:p w:rsidR="00B03BC5" w:rsidRDefault="00B03BC5" w:rsidP="00F14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38DB"/>
    <w:multiLevelType w:val="hybridMultilevel"/>
    <w:tmpl w:val="5BB6C778"/>
    <w:lvl w:ilvl="0" w:tplc="D9E6ED4E">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190AC3"/>
    <w:multiLevelType w:val="hybridMultilevel"/>
    <w:tmpl w:val="964A0A7C"/>
    <w:lvl w:ilvl="0" w:tplc="F9606D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800B69"/>
    <w:multiLevelType w:val="hybridMultilevel"/>
    <w:tmpl w:val="8AD6A142"/>
    <w:lvl w:ilvl="0" w:tplc="45DEE1DE">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E25211"/>
    <w:multiLevelType w:val="hybridMultilevel"/>
    <w:tmpl w:val="54E89F84"/>
    <w:lvl w:ilvl="0" w:tplc="F9606DD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8D1707"/>
    <w:multiLevelType w:val="hybridMultilevel"/>
    <w:tmpl w:val="0F3246BC"/>
    <w:lvl w:ilvl="0" w:tplc="99443FC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AD17E10"/>
    <w:multiLevelType w:val="hybridMultilevel"/>
    <w:tmpl w:val="02CA7EE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C77688"/>
    <w:multiLevelType w:val="hybridMultilevel"/>
    <w:tmpl w:val="379829D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71842D3"/>
    <w:multiLevelType w:val="hybridMultilevel"/>
    <w:tmpl w:val="6674E5BE"/>
    <w:lvl w:ilvl="0" w:tplc="F9606D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5C3776"/>
    <w:multiLevelType w:val="hybridMultilevel"/>
    <w:tmpl w:val="0A781304"/>
    <w:lvl w:ilvl="0" w:tplc="E5AEC32C">
      <w:numFmt w:val="bullet"/>
      <w:lvlText w:val="□"/>
      <w:lvlJc w:val="left"/>
      <w:pPr>
        <w:tabs>
          <w:tab w:val="num" w:pos="540"/>
        </w:tabs>
        <w:ind w:left="540" w:hanging="54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71CC7E7C"/>
    <w:multiLevelType w:val="hybridMultilevel"/>
    <w:tmpl w:val="458A2CA2"/>
    <w:lvl w:ilvl="0" w:tplc="AD644ABA">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7"/>
  </w:num>
  <w:num w:numId="4">
    <w:abstractNumId w:val="3"/>
  </w:num>
  <w:num w:numId="5">
    <w:abstractNumId w:val="4"/>
  </w:num>
  <w:num w:numId="6">
    <w:abstractNumId w:val="9"/>
  </w:num>
  <w:num w:numId="7">
    <w:abstractNumId w:val="6"/>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3MDOxNDYzNDM2NDVS0lEKTi0uzszPAykwrAUAW6VWqSwAAAA="/>
  </w:docVars>
  <w:rsids>
    <w:rsidRoot w:val="006C4CCF"/>
    <w:rsid w:val="00023004"/>
    <w:rsid w:val="00026709"/>
    <w:rsid w:val="00035A50"/>
    <w:rsid w:val="000432EC"/>
    <w:rsid w:val="00047DB6"/>
    <w:rsid w:val="000567F4"/>
    <w:rsid w:val="00072A0A"/>
    <w:rsid w:val="00075D1A"/>
    <w:rsid w:val="000A1037"/>
    <w:rsid w:val="000A6B5B"/>
    <w:rsid w:val="000F4C02"/>
    <w:rsid w:val="0010693C"/>
    <w:rsid w:val="0011429F"/>
    <w:rsid w:val="0015706D"/>
    <w:rsid w:val="00172EE7"/>
    <w:rsid w:val="00174AB6"/>
    <w:rsid w:val="00183E04"/>
    <w:rsid w:val="001854E7"/>
    <w:rsid w:val="00196076"/>
    <w:rsid w:val="001C3AF5"/>
    <w:rsid w:val="001C3C2D"/>
    <w:rsid w:val="001F4413"/>
    <w:rsid w:val="002107B4"/>
    <w:rsid w:val="00220574"/>
    <w:rsid w:val="002253E8"/>
    <w:rsid w:val="002301A2"/>
    <w:rsid w:val="002436E4"/>
    <w:rsid w:val="00251F6C"/>
    <w:rsid w:val="00271564"/>
    <w:rsid w:val="002911F8"/>
    <w:rsid w:val="002D5055"/>
    <w:rsid w:val="002E0458"/>
    <w:rsid w:val="002E1958"/>
    <w:rsid w:val="0030226B"/>
    <w:rsid w:val="0031013F"/>
    <w:rsid w:val="00315796"/>
    <w:rsid w:val="00315F46"/>
    <w:rsid w:val="00360FAC"/>
    <w:rsid w:val="00395431"/>
    <w:rsid w:val="003C1A0E"/>
    <w:rsid w:val="003F36FB"/>
    <w:rsid w:val="00405355"/>
    <w:rsid w:val="004206B9"/>
    <w:rsid w:val="00432C83"/>
    <w:rsid w:val="00442D7E"/>
    <w:rsid w:val="00443C9E"/>
    <w:rsid w:val="0045091A"/>
    <w:rsid w:val="00456522"/>
    <w:rsid w:val="00471D2E"/>
    <w:rsid w:val="00490E69"/>
    <w:rsid w:val="004A4333"/>
    <w:rsid w:val="004C5513"/>
    <w:rsid w:val="004D1B5E"/>
    <w:rsid w:val="00501FDC"/>
    <w:rsid w:val="00502816"/>
    <w:rsid w:val="00511600"/>
    <w:rsid w:val="00514A41"/>
    <w:rsid w:val="00532315"/>
    <w:rsid w:val="005407A6"/>
    <w:rsid w:val="005531D0"/>
    <w:rsid w:val="00584C47"/>
    <w:rsid w:val="005A6E13"/>
    <w:rsid w:val="005A7CDE"/>
    <w:rsid w:val="005B5190"/>
    <w:rsid w:val="005C1104"/>
    <w:rsid w:val="005D09F5"/>
    <w:rsid w:val="0062197C"/>
    <w:rsid w:val="00622ECA"/>
    <w:rsid w:val="00637CB3"/>
    <w:rsid w:val="00652670"/>
    <w:rsid w:val="00666E47"/>
    <w:rsid w:val="00684E27"/>
    <w:rsid w:val="006C4CCF"/>
    <w:rsid w:val="006D0182"/>
    <w:rsid w:val="006D0825"/>
    <w:rsid w:val="006E444D"/>
    <w:rsid w:val="006E75AE"/>
    <w:rsid w:val="006F7498"/>
    <w:rsid w:val="0070028E"/>
    <w:rsid w:val="00717476"/>
    <w:rsid w:val="0073525E"/>
    <w:rsid w:val="007513E3"/>
    <w:rsid w:val="00756271"/>
    <w:rsid w:val="007622C5"/>
    <w:rsid w:val="00794E76"/>
    <w:rsid w:val="0081611F"/>
    <w:rsid w:val="00854582"/>
    <w:rsid w:val="008801E7"/>
    <w:rsid w:val="0088388D"/>
    <w:rsid w:val="008859EE"/>
    <w:rsid w:val="008D0F97"/>
    <w:rsid w:val="008D39F5"/>
    <w:rsid w:val="008D77A3"/>
    <w:rsid w:val="008F72EA"/>
    <w:rsid w:val="00946B02"/>
    <w:rsid w:val="009520BA"/>
    <w:rsid w:val="009615DA"/>
    <w:rsid w:val="00983413"/>
    <w:rsid w:val="00987063"/>
    <w:rsid w:val="00992283"/>
    <w:rsid w:val="009E00BB"/>
    <w:rsid w:val="009F5BEB"/>
    <w:rsid w:val="00A01F4D"/>
    <w:rsid w:val="00A217F8"/>
    <w:rsid w:val="00A74EEF"/>
    <w:rsid w:val="00AB4929"/>
    <w:rsid w:val="00AC0DDD"/>
    <w:rsid w:val="00AF685A"/>
    <w:rsid w:val="00B00ADD"/>
    <w:rsid w:val="00B03BC5"/>
    <w:rsid w:val="00B44361"/>
    <w:rsid w:val="00B51FF2"/>
    <w:rsid w:val="00B5231A"/>
    <w:rsid w:val="00B63988"/>
    <w:rsid w:val="00BD32CF"/>
    <w:rsid w:val="00BD54EF"/>
    <w:rsid w:val="00BD74B4"/>
    <w:rsid w:val="00BE781A"/>
    <w:rsid w:val="00C13B2C"/>
    <w:rsid w:val="00C17842"/>
    <w:rsid w:val="00C23D53"/>
    <w:rsid w:val="00C240DC"/>
    <w:rsid w:val="00C727A9"/>
    <w:rsid w:val="00C915EA"/>
    <w:rsid w:val="00C9560E"/>
    <w:rsid w:val="00CD3CC6"/>
    <w:rsid w:val="00CE2662"/>
    <w:rsid w:val="00D179D6"/>
    <w:rsid w:val="00D22435"/>
    <w:rsid w:val="00D467CA"/>
    <w:rsid w:val="00D56613"/>
    <w:rsid w:val="00D578FF"/>
    <w:rsid w:val="00D7151B"/>
    <w:rsid w:val="00DA3C67"/>
    <w:rsid w:val="00DA48D7"/>
    <w:rsid w:val="00DB41B7"/>
    <w:rsid w:val="00DC631E"/>
    <w:rsid w:val="00DF583E"/>
    <w:rsid w:val="00E001D8"/>
    <w:rsid w:val="00E23982"/>
    <w:rsid w:val="00E246C0"/>
    <w:rsid w:val="00E520CE"/>
    <w:rsid w:val="00E5756E"/>
    <w:rsid w:val="00E7076B"/>
    <w:rsid w:val="00E777E8"/>
    <w:rsid w:val="00E82DDB"/>
    <w:rsid w:val="00E90548"/>
    <w:rsid w:val="00EA342C"/>
    <w:rsid w:val="00EA759F"/>
    <w:rsid w:val="00EC0CD9"/>
    <w:rsid w:val="00EE5F31"/>
    <w:rsid w:val="00EF5A30"/>
    <w:rsid w:val="00EF7B34"/>
    <w:rsid w:val="00F118EB"/>
    <w:rsid w:val="00F1407F"/>
    <w:rsid w:val="00F22E82"/>
    <w:rsid w:val="00F35659"/>
    <w:rsid w:val="00F43456"/>
    <w:rsid w:val="00F44667"/>
    <w:rsid w:val="00FA24AA"/>
    <w:rsid w:val="00FC2E98"/>
    <w:rsid w:val="00FD299D"/>
    <w:rsid w:val="00FE5074"/>
    <w:rsid w:val="00FE5A25"/>
    <w:rsid w:val="00FF18C0"/>
    <w:rsid w:val="00FF2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262D272-ACE1-4EA7-80A8-5A0486D9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C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4CC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407F"/>
    <w:pPr>
      <w:tabs>
        <w:tab w:val="center" w:pos="4153"/>
        <w:tab w:val="right" w:pos="8306"/>
      </w:tabs>
      <w:snapToGrid w:val="0"/>
    </w:pPr>
    <w:rPr>
      <w:sz w:val="20"/>
      <w:szCs w:val="20"/>
    </w:rPr>
  </w:style>
  <w:style w:type="character" w:customStyle="1" w:styleId="a5">
    <w:name w:val="頁首 字元"/>
    <w:link w:val="a4"/>
    <w:uiPriority w:val="99"/>
    <w:rsid w:val="00F1407F"/>
    <w:rPr>
      <w:kern w:val="2"/>
    </w:rPr>
  </w:style>
  <w:style w:type="paragraph" w:styleId="a6">
    <w:name w:val="footer"/>
    <w:basedOn w:val="a"/>
    <w:link w:val="a7"/>
    <w:uiPriority w:val="99"/>
    <w:unhideWhenUsed/>
    <w:rsid w:val="00F1407F"/>
    <w:pPr>
      <w:tabs>
        <w:tab w:val="center" w:pos="4153"/>
        <w:tab w:val="right" w:pos="8306"/>
      </w:tabs>
      <w:snapToGrid w:val="0"/>
    </w:pPr>
    <w:rPr>
      <w:sz w:val="20"/>
      <w:szCs w:val="20"/>
    </w:rPr>
  </w:style>
  <w:style w:type="character" w:customStyle="1" w:styleId="a7">
    <w:name w:val="頁尾 字元"/>
    <w:link w:val="a6"/>
    <w:uiPriority w:val="99"/>
    <w:rsid w:val="00F1407F"/>
    <w:rPr>
      <w:kern w:val="2"/>
    </w:rPr>
  </w:style>
  <w:style w:type="paragraph" w:styleId="a8">
    <w:name w:val="Balloon Text"/>
    <w:basedOn w:val="a"/>
    <w:link w:val="a9"/>
    <w:uiPriority w:val="99"/>
    <w:semiHidden/>
    <w:unhideWhenUsed/>
    <w:rsid w:val="00511600"/>
    <w:rPr>
      <w:rFonts w:ascii="Cambria" w:hAnsi="Cambria"/>
      <w:sz w:val="18"/>
      <w:szCs w:val="18"/>
    </w:rPr>
  </w:style>
  <w:style w:type="character" w:customStyle="1" w:styleId="a9">
    <w:name w:val="註解方塊文字 字元"/>
    <w:link w:val="a8"/>
    <w:uiPriority w:val="99"/>
    <w:semiHidden/>
    <w:rsid w:val="00511600"/>
    <w:rPr>
      <w:rFonts w:ascii="Cambria" w:eastAsia="新細明體" w:hAnsi="Cambria" w:cs="Times New Roman"/>
      <w:kern w:val="2"/>
      <w:sz w:val="18"/>
      <w:szCs w:val="18"/>
    </w:rPr>
  </w:style>
  <w:style w:type="paragraph" w:styleId="aa">
    <w:name w:val="List Paragraph"/>
    <w:basedOn w:val="a"/>
    <w:uiPriority w:val="34"/>
    <w:qFormat/>
    <w:rsid w:val="00D7151B"/>
    <w:pPr>
      <w:ind w:leftChars="200" w:left="480"/>
    </w:pPr>
  </w:style>
  <w:style w:type="character" w:styleId="ab">
    <w:name w:val="Strong"/>
    <w:uiPriority w:val="22"/>
    <w:qFormat/>
    <w:rsid w:val="00E00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DB456-B163-48AE-9968-7769BBBF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2578</Characters>
  <Application>Microsoft Office Word</Application>
  <DocSecurity>0</DocSecurity>
  <Lines>21</Lines>
  <Paragraphs>6</Paragraphs>
  <ScaleCrop>false</ScaleCrop>
  <Company>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97年高雄醫學大學暑期大學生研究補助</dc:title>
  <dc:subject/>
  <dc:creator>Jessica</dc:creator>
  <cp:keywords/>
  <dc:description/>
  <cp:lastModifiedBy>佳妤 陳</cp:lastModifiedBy>
  <cp:revision>2</cp:revision>
  <cp:lastPrinted>2010-05-19T01:50:00Z</cp:lastPrinted>
  <dcterms:created xsi:type="dcterms:W3CDTF">2021-06-15T08:04:00Z</dcterms:created>
  <dcterms:modified xsi:type="dcterms:W3CDTF">2021-06-15T08:04:00Z</dcterms:modified>
</cp:coreProperties>
</file>